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24" w:rsidRDefault="00CC5E24"/>
    <w:p w:rsidR="00CC5E24" w:rsidRPr="006B6875" w:rsidRDefault="00001F15">
      <w:pPr>
        <w:rPr>
          <w:i/>
          <w:sz w:val="28"/>
          <w:szCs w:val="28"/>
        </w:rPr>
      </w:pPr>
      <w:r w:rsidRPr="00001F15">
        <w:rPr>
          <w:i/>
          <w:sz w:val="36"/>
          <w:szCs w:val="36"/>
        </w:rPr>
        <w:t>REGOLAMENTO DEI BENI INFUNGIBILI DELL’ORDINE DEGLI ASSISTENTI SOCIALI DELLA REGIONE TOSCANA</w:t>
      </w:r>
      <w:r w:rsidR="006B6875">
        <w:rPr>
          <w:i/>
          <w:sz w:val="36"/>
          <w:szCs w:val="36"/>
        </w:rPr>
        <w:t xml:space="preserve"> – (</w:t>
      </w:r>
      <w:r w:rsidR="006B6875" w:rsidRPr="006B6875">
        <w:rPr>
          <w:i/>
          <w:sz w:val="28"/>
          <w:szCs w:val="28"/>
        </w:rPr>
        <w:t>delibera 34 23/03/2021</w:t>
      </w:r>
      <w:r w:rsidR="006B6875">
        <w:rPr>
          <w:i/>
          <w:sz w:val="28"/>
          <w:szCs w:val="28"/>
        </w:rPr>
        <w:t xml:space="preserve"> allegato PTPCT)</w:t>
      </w:r>
    </w:p>
    <w:p w:rsidR="00224120" w:rsidRDefault="00224120" w:rsidP="003461D9">
      <w:pPr>
        <w:jc w:val="both"/>
      </w:pPr>
    </w:p>
    <w:p w:rsidR="00CA15FE" w:rsidRDefault="00001F15" w:rsidP="003461D9">
      <w:pPr>
        <w:jc w:val="both"/>
      </w:pPr>
      <w:r>
        <w:t>Riferimenti normativi:</w:t>
      </w:r>
    </w:p>
    <w:p w:rsidR="00001F15" w:rsidRDefault="00001F15" w:rsidP="003461D9">
      <w:pPr>
        <w:jc w:val="both"/>
      </w:pPr>
      <w:r>
        <w:t xml:space="preserve">Linee guida </w:t>
      </w:r>
      <w:proofErr w:type="spellStart"/>
      <w:r>
        <w:t>anac</w:t>
      </w:r>
      <w:proofErr w:type="spellEnd"/>
      <w:r>
        <w:t xml:space="preserve"> Beni infungibili deliberazione 950 del 13.09.2017</w:t>
      </w:r>
    </w:p>
    <w:p w:rsidR="00CA15FE" w:rsidRDefault="00CA15FE" w:rsidP="003461D9">
      <w:pPr>
        <w:jc w:val="both"/>
      </w:pPr>
      <w:r>
        <w:t xml:space="preserve">Aggiornamenti: </w:t>
      </w:r>
      <w:r w:rsidR="00DA4BAC">
        <w:t>17 gennaio 2022</w:t>
      </w:r>
    </w:p>
    <w:p w:rsidR="00224120" w:rsidRDefault="00224120" w:rsidP="003461D9">
      <w:pPr>
        <w:jc w:val="both"/>
        <w:rPr>
          <w:b/>
          <w:i/>
          <w:sz w:val="24"/>
          <w:szCs w:val="24"/>
        </w:rPr>
      </w:pPr>
    </w:p>
    <w:p w:rsidR="00001F15" w:rsidRPr="00CA682A" w:rsidRDefault="00001F15" w:rsidP="003461D9">
      <w:pPr>
        <w:jc w:val="both"/>
        <w:rPr>
          <w:b/>
          <w:i/>
          <w:sz w:val="24"/>
          <w:szCs w:val="24"/>
        </w:rPr>
      </w:pPr>
      <w:r w:rsidRPr="00CA682A">
        <w:rPr>
          <w:b/>
          <w:i/>
          <w:sz w:val="24"/>
          <w:szCs w:val="24"/>
        </w:rPr>
        <w:t>Definizione dei beni infungibili:</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Un bene o un servizio possono essere infungibili, a causa di ragioni di tipo tecnico</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o di privativa industriale, non esistono possibili sostituti degli stessi, oppure a causa di decisioni</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passate da parte del contraente che lo vincolano nei comportamenti futuri o, infine, a seguito di</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 xml:space="preserve">decisioni strategiche da parte dell’operatore economico. </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Il Bene infungibile non si riferisce ad un servizio o prodotto che non possa essere reperito da altro operatore economico bensì alla difficoltà ed al costo di sostituzione del bene.</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L’infungibilità che nasce a seguito di decisioni passate del contraente e/o di un</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comportamento strategico da parte dell’operatore economico è conosciuta nella letteratura</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 xml:space="preserve">economica e antitrust con il termine di </w:t>
      </w:r>
      <w:proofErr w:type="spellStart"/>
      <w:r w:rsidRPr="006949E2">
        <w:rPr>
          <w:rFonts w:cs="Garamond,Italic"/>
          <w:i/>
          <w:iCs/>
        </w:rPr>
        <w:t>lock</w:t>
      </w:r>
      <w:proofErr w:type="spellEnd"/>
      <w:r w:rsidRPr="006949E2">
        <w:rPr>
          <w:rFonts w:cs="Garamond,Italic"/>
          <w:i/>
          <w:iCs/>
        </w:rPr>
        <w:t>-in</w:t>
      </w:r>
      <w:r w:rsidRPr="006949E2">
        <w:rPr>
          <w:rFonts w:cs="Garamond"/>
        </w:rPr>
        <w:t>.</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Si tratta di un fenomeno spesso associato al settore della Information and</w:t>
      </w:r>
    </w:p>
    <w:p w:rsidR="00001F15" w:rsidRPr="006949E2" w:rsidRDefault="006949E2" w:rsidP="003461D9">
      <w:pPr>
        <w:autoSpaceDE w:val="0"/>
        <w:autoSpaceDN w:val="0"/>
        <w:adjustRightInd w:val="0"/>
        <w:spacing w:after="0" w:line="240" w:lineRule="auto"/>
        <w:jc w:val="both"/>
        <w:rPr>
          <w:rFonts w:cs="Garamond"/>
        </w:rPr>
      </w:pPr>
      <w:r w:rsidRPr="006949E2">
        <w:rPr>
          <w:rFonts w:cs="Garamond"/>
        </w:rPr>
        <w:t>Communications Technology (ICT)</w:t>
      </w:r>
      <w:r w:rsidR="00001F15" w:rsidRPr="006949E2">
        <w:rPr>
          <w:rFonts w:cs="Garamond"/>
        </w:rPr>
        <w:t xml:space="preserve">. </w:t>
      </w:r>
      <w:r w:rsidRPr="006949E2">
        <w:rPr>
          <w:rFonts w:cs="Garamond"/>
        </w:rPr>
        <w:t xml:space="preserve">Ciò si verifica </w:t>
      </w:r>
      <w:r w:rsidR="00001F15" w:rsidRPr="006949E2">
        <w:rPr>
          <w:rFonts w:cs="Garamond"/>
        </w:rPr>
        <w:t>quando l’amministrazione non può cambiare</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facilmente fornitore alla scadenza del periodo contrattuale perché non sono disponibili le</w:t>
      </w:r>
    </w:p>
    <w:p w:rsidR="00001F15" w:rsidRPr="006949E2" w:rsidRDefault="00001F15" w:rsidP="003461D9">
      <w:pPr>
        <w:autoSpaceDE w:val="0"/>
        <w:autoSpaceDN w:val="0"/>
        <w:adjustRightInd w:val="0"/>
        <w:spacing w:after="0" w:line="240" w:lineRule="auto"/>
        <w:jc w:val="both"/>
        <w:rPr>
          <w:rFonts w:cs="Garamond"/>
        </w:rPr>
      </w:pPr>
      <w:r w:rsidRPr="006949E2">
        <w:rPr>
          <w:rFonts w:cs="Garamond"/>
        </w:rPr>
        <w:t>informazioni essenziali sul sistema che consentirebbero a un nuovo fornitore di subentrare al</w:t>
      </w:r>
    </w:p>
    <w:p w:rsidR="00001F15" w:rsidRPr="006949E2" w:rsidRDefault="006949E2" w:rsidP="003461D9">
      <w:pPr>
        <w:autoSpaceDE w:val="0"/>
        <w:autoSpaceDN w:val="0"/>
        <w:adjustRightInd w:val="0"/>
        <w:spacing w:after="0" w:line="240" w:lineRule="auto"/>
        <w:jc w:val="both"/>
        <w:rPr>
          <w:rFonts w:cs="Garamond"/>
        </w:rPr>
      </w:pPr>
      <w:r w:rsidRPr="006949E2">
        <w:rPr>
          <w:rFonts w:cs="Garamond"/>
        </w:rPr>
        <w:t>precedente in modo efficiente; ovvero quando vi sono elevati costi iniziali d’installazione delle attrezzature e software informatici a cui seguono costosi e lunghi processi di apprendimento delle tecnologie per l’utilizzo ottimale del prodotto o del servizio.</w:t>
      </w:r>
    </w:p>
    <w:p w:rsidR="00001F15" w:rsidRDefault="006949E2" w:rsidP="003461D9">
      <w:pPr>
        <w:jc w:val="both"/>
        <w:rPr>
          <w:rFonts w:cs="Garamond"/>
        </w:rPr>
      </w:pPr>
      <w:r w:rsidRPr="006949E2">
        <w:rPr>
          <w:rFonts w:cs="Garamond"/>
        </w:rPr>
        <w:t>Un bene o servizio è definito infungibile i</w:t>
      </w:r>
      <w:r w:rsidR="00001F15" w:rsidRPr="006949E2">
        <w:rPr>
          <w:rFonts w:cs="Garamond"/>
        </w:rPr>
        <w:t xml:space="preserve">n tutti </w:t>
      </w:r>
      <w:r w:rsidRPr="006949E2">
        <w:rPr>
          <w:rFonts w:cs="Garamond"/>
        </w:rPr>
        <w:t>i casi in cui</w:t>
      </w:r>
      <w:r w:rsidR="00001F15" w:rsidRPr="006949E2">
        <w:rPr>
          <w:rFonts w:cs="Garamond"/>
        </w:rPr>
        <w:t xml:space="preserve"> il </w:t>
      </w:r>
      <w:r w:rsidRPr="006949E2">
        <w:rPr>
          <w:rFonts w:cs="Garamond"/>
        </w:rPr>
        <w:t>contraente</w:t>
      </w:r>
      <w:r w:rsidR="00001F15" w:rsidRPr="006949E2">
        <w:rPr>
          <w:rFonts w:cs="Garamond"/>
        </w:rPr>
        <w:t xml:space="preserve"> incontra elevate difficoltà a cambiare gestore/fornitore.</w:t>
      </w:r>
    </w:p>
    <w:p w:rsidR="00224120" w:rsidRDefault="00224120" w:rsidP="003461D9">
      <w:pPr>
        <w:jc w:val="both"/>
        <w:rPr>
          <w:rFonts w:cs="Garamond"/>
          <w:b/>
          <w:i/>
          <w:sz w:val="24"/>
          <w:szCs w:val="24"/>
        </w:rPr>
      </w:pPr>
    </w:p>
    <w:p w:rsidR="00E67ECC" w:rsidRPr="00CA682A" w:rsidRDefault="00E67ECC" w:rsidP="003461D9">
      <w:pPr>
        <w:jc w:val="both"/>
        <w:rPr>
          <w:rFonts w:cs="Garamond"/>
          <w:b/>
          <w:i/>
          <w:sz w:val="24"/>
          <w:szCs w:val="24"/>
        </w:rPr>
      </w:pPr>
      <w:r w:rsidRPr="00CA682A">
        <w:rPr>
          <w:rFonts w:cs="Garamond"/>
          <w:b/>
          <w:i/>
          <w:sz w:val="24"/>
          <w:szCs w:val="24"/>
        </w:rPr>
        <w:t>Beni individuati quali infungibili:</w:t>
      </w:r>
    </w:p>
    <w:p w:rsidR="00660687" w:rsidRDefault="00660687" w:rsidP="003461D9">
      <w:pPr>
        <w:jc w:val="both"/>
        <w:rPr>
          <w:rFonts w:cs="Garamond"/>
        </w:rPr>
      </w:pPr>
      <w:r>
        <w:rPr>
          <w:rFonts w:cs="Garamond"/>
        </w:rPr>
        <w:t>I Beni ed i servizi rinnovati annualmente dall’Ordine si riferiscono tutti a contratti sotto la soglia dei €40.000</w:t>
      </w:r>
    </w:p>
    <w:p w:rsidR="00E67ECC" w:rsidRDefault="00E67ECC" w:rsidP="003461D9">
      <w:pPr>
        <w:jc w:val="both"/>
        <w:rPr>
          <w:rFonts w:cs="Garamond"/>
        </w:rPr>
      </w:pPr>
      <w:r w:rsidRPr="00660687">
        <w:rPr>
          <w:rFonts w:cs="Garamond"/>
          <w:b/>
        </w:rPr>
        <w:t>Servizio di Consulenza fiscale e del lavoro:</w:t>
      </w:r>
      <w:r>
        <w:rPr>
          <w:rFonts w:cs="Garamond"/>
        </w:rPr>
        <w:t xml:space="preserve"> premesso che </w:t>
      </w:r>
      <w:r w:rsidR="00660687">
        <w:rPr>
          <w:rFonts w:cs="Garamond"/>
        </w:rPr>
        <w:t xml:space="preserve">l’assenza di criticità, lo svolgimento regolare e conforme alle normative vigenti, le buone prassi attivate e risultati soddisfacenti negli anni, nonché </w:t>
      </w:r>
      <w:r>
        <w:rPr>
          <w:rFonts w:cs="Garamond"/>
        </w:rPr>
        <w:t xml:space="preserve">il rapporto di fiducia con </w:t>
      </w:r>
      <w:r w:rsidR="00660687">
        <w:rPr>
          <w:rFonts w:cs="Garamond"/>
        </w:rPr>
        <w:t>il</w:t>
      </w:r>
      <w:r>
        <w:rPr>
          <w:rFonts w:cs="Garamond"/>
        </w:rPr>
        <w:t xml:space="preserve"> professionista </w:t>
      </w:r>
      <w:r w:rsidR="00660687">
        <w:rPr>
          <w:rFonts w:cs="Garamond"/>
        </w:rPr>
        <w:t xml:space="preserve">si configurano come requisito di garanzia della professionalità del Consulente individuato è da sottolineare che il trasferimento ad altro consulente delle anagrafiche dei dipendenti e collaboratori, la formazione alla particolare disciplina dell’Ordine professionale quale Ente </w:t>
      </w:r>
      <w:r w:rsidR="00660687">
        <w:rPr>
          <w:rFonts w:cs="Garamond"/>
        </w:rPr>
        <w:lastRenderedPageBreak/>
        <w:t>pubblico non economico son operazioni che comportano lunghi processi di ridefinizione delle scadenze, delle modalità operative e dei rapporti tra Professionista Ordine e soggetti istituzionali terzi.</w:t>
      </w:r>
    </w:p>
    <w:p w:rsidR="00660687" w:rsidRDefault="005271AB" w:rsidP="003461D9">
      <w:pPr>
        <w:jc w:val="both"/>
        <w:rPr>
          <w:rFonts w:cs="Garamond"/>
        </w:rPr>
      </w:pPr>
      <w:r>
        <w:rPr>
          <w:rFonts w:cs="Garamond"/>
        </w:rPr>
        <w:t xml:space="preserve">Ciò nonostante a seguito degli aggiornamenti della regolamentazione del lavoro agile e da remoto nella Pubblica amministrazione, da cui consegue anche l’obbligo di presentazione dei P.O.LA. entro il 31 gennaio di ogni anno. Il Consiglio ha deciso per il 2022 di rinnovare l’incarico di consulenza fiscale e del lavoro per i primi sei mesi dell’anno allo </w:t>
      </w:r>
      <w:r w:rsidR="00EB2A23">
        <w:rPr>
          <w:rFonts w:cs="Garamond"/>
        </w:rPr>
        <w:t xml:space="preserve">Studio Dr. Michele Di </w:t>
      </w:r>
      <w:proofErr w:type="spellStart"/>
      <w:r w:rsidR="00EB2A23">
        <w:rPr>
          <w:rFonts w:cs="Garamond"/>
        </w:rPr>
        <w:t>Rauso</w:t>
      </w:r>
      <w:proofErr w:type="spellEnd"/>
      <w:r>
        <w:rPr>
          <w:rFonts w:cs="Garamond"/>
        </w:rPr>
        <w:t xml:space="preserve"> e di procedere </w:t>
      </w:r>
      <w:r w:rsidR="00660687">
        <w:rPr>
          <w:rFonts w:cs="Garamond"/>
        </w:rPr>
        <w:t xml:space="preserve"> a ricerche di mercato</w:t>
      </w:r>
      <w:r>
        <w:rPr>
          <w:rFonts w:cs="Garamond"/>
        </w:rPr>
        <w:t xml:space="preserve"> per valutare le offerte di consulenza anche di altri soggetti economici che possono avere una comprovata esperienza nella gestione di altri Ordini professionali o enti pubblici non economici per offrire non soltanto elaborazione delle buste paga e supporto nella redazione dei Bilanci annuali ma anche un servizio di gestione del personale similare agli uffici risorse umane degli Eni Locali e di formazione e informazione ai dipendenti ed al Consiglio sulle normative specifiche.</w:t>
      </w:r>
    </w:p>
    <w:p w:rsidR="00224120" w:rsidRDefault="00224120" w:rsidP="003461D9">
      <w:pPr>
        <w:jc w:val="both"/>
        <w:rPr>
          <w:rFonts w:cs="Garamond"/>
          <w:b/>
          <w:u w:val="single"/>
        </w:rPr>
      </w:pPr>
    </w:p>
    <w:p w:rsidR="00660687" w:rsidRPr="00CA682A" w:rsidRDefault="00EB2A23" w:rsidP="003461D9">
      <w:pPr>
        <w:jc w:val="both"/>
        <w:rPr>
          <w:rFonts w:cs="Garamond"/>
          <w:b/>
          <w:u w:val="single"/>
        </w:rPr>
      </w:pPr>
      <w:r w:rsidRPr="00CA682A">
        <w:rPr>
          <w:rFonts w:cs="Garamond"/>
          <w:b/>
          <w:u w:val="single"/>
        </w:rPr>
        <w:t>Assistenza programmi informatici:</w:t>
      </w:r>
    </w:p>
    <w:p w:rsidR="00EB2A23" w:rsidRDefault="00EB2A23" w:rsidP="003461D9">
      <w:pPr>
        <w:jc w:val="both"/>
        <w:rPr>
          <w:rFonts w:cs="Garamond"/>
        </w:rPr>
      </w:pPr>
      <w:r w:rsidRPr="00CA682A">
        <w:rPr>
          <w:rFonts w:cs="Garamond"/>
          <w:b/>
        </w:rPr>
        <w:t>Studio Filippini:</w:t>
      </w:r>
      <w:r>
        <w:rPr>
          <w:rFonts w:cs="Garamond"/>
        </w:rPr>
        <w:t xml:space="preserve"> l’ordine ha due programmi informatici appositamente creati per la gestione dei Consigli e delle deliberazioni e per la creazione e rendicontazione presenze di eventi formativi realizzati e personalizzati per in nostro Ente da Studio Filippini e per tanto non reperibili sul mercato da altri fornitori. </w:t>
      </w:r>
    </w:p>
    <w:p w:rsidR="00EB2A23" w:rsidRDefault="00EB2A23" w:rsidP="003461D9">
      <w:pPr>
        <w:jc w:val="both"/>
        <w:rPr>
          <w:rFonts w:cs="Garamond"/>
        </w:rPr>
      </w:pPr>
      <w:r>
        <w:rPr>
          <w:rFonts w:cs="Garamond"/>
        </w:rPr>
        <w:t xml:space="preserve">L’assistenza e la manutenzione a tali programmi è svolta da </w:t>
      </w:r>
      <w:proofErr w:type="spellStart"/>
      <w:r>
        <w:rPr>
          <w:rFonts w:cs="Garamond"/>
        </w:rPr>
        <w:t>Contu</w:t>
      </w:r>
      <w:proofErr w:type="spellEnd"/>
      <w:r>
        <w:rPr>
          <w:rFonts w:cs="Garamond"/>
        </w:rPr>
        <w:t xml:space="preserve"> Valentina collaboratore dello Studio Filippini e per la proficua collaborazione e per l’efficienza dei programmi il servizio non</w:t>
      </w:r>
      <w:r w:rsidR="00825113">
        <w:rPr>
          <w:rFonts w:cs="Garamond"/>
        </w:rPr>
        <w:t xml:space="preserve"> è</w:t>
      </w:r>
      <w:r>
        <w:rPr>
          <w:rFonts w:cs="Garamond"/>
        </w:rPr>
        <w:t xml:space="preserve"> reperibile da altro operatore.</w:t>
      </w:r>
    </w:p>
    <w:p w:rsidR="00EB2A23" w:rsidRDefault="00825113" w:rsidP="003461D9">
      <w:pPr>
        <w:jc w:val="both"/>
        <w:rPr>
          <w:rFonts w:cs="Garamond"/>
        </w:rPr>
      </w:pPr>
      <w:proofErr w:type="spellStart"/>
      <w:r>
        <w:rPr>
          <w:rFonts w:cs="Garamond"/>
          <w:b/>
        </w:rPr>
        <w:t>Hochfeiler</w:t>
      </w:r>
      <w:proofErr w:type="spellEnd"/>
      <w:r w:rsidR="009C4F73">
        <w:rPr>
          <w:rFonts w:cs="Garamond"/>
          <w:b/>
        </w:rPr>
        <w:t xml:space="preserve"> </w:t>
      </w:r>
      <w:proofErr w:type="spellStart"/>
      <w:r w:rsidR="009C4F73">
        <w:rPr>
          <w:rFonts w:cs="Garamond"/>
          <w:b/>
        </w:rPr>
        <w:t>srl</w:t>
      </w:r>
      <w:proofErr w:type="spellEnd"/>
      <w:r w:rsidR="00EB2A23" w:rsidRPr="00CA682A">
        <w:rPr>
          <w:rFonts w:cs="Garamond"/>
          <w:b/>
        </w:rPr>
        <w:t>:</w:t>
      </w:r>
      <w:r w:rsidR="00EB2A23">
        <w:rPr>
          <w:rFonts w:cs="Garamond"/>
        </w:rPr>
        <w:t xml:space="preserve"> ha </w:t>
      </w:r>
      <w:r>
        <w:rPr>
          <w:rFonts w:cs="Garamond"/>
        </w:rPr>
        <w:t>creato</w:t>
      </w:r>
      <w:r w:rsidR="00EB2A23">
        <w:rPr>
          <w:rFonts w:cs="Garamond"/>
        </w:rPr>
        <w:t xml:space="preserve"> i programm</w:t>
      </w:r>
      <w:r>
        <w:rPr>
          <w:rFonts w:cs="Garamond"/>
        </w:rPr>
        <w:t>i</w:t>
      </w:r>
      <w:r w:rsidR="00EB2A23">
        <w:rPr>
          <w:rFonts w:cs="Garamond"/>
        </w:rPr>
        <w:t xml:space="preserve"> informatic</w:t>
      </w:r>
      <w:r>
        <w:rPr>
          <w:rFonts w:cs="Garamond"/>
        </w:rPr>
        <w:t>i dedicati agli Ordini professionali</w:t>
      </w:r>
      <w:r w:rsidR="00EB2A23">
        <w:rPr>
          <w:rFonts w:cs="Garamond"/>
        </w:rPr>
        <w:t xml:space="preserve"> </w:t>
      </w:r>
      <w:r>
        <w:rPr>
          <w:rFonts w:cs="Garamond"/>
        </w:rPr>
        <w:t>“ufficio virtuale”</w:t>
      </w:r>
      <w:r w:rsidR="00B34113">
        <w:rPr>
          <w:rFonts w:cs="Garamond"/>
        </w:rPr>
        <w:t xml:space="preserve"> </w:t>
      </w:r>
      <w:proofErr w:type="gramStart"/>
      <w:r>
        <w:rPr>
          <w:rFonts w:cs="Garamond"/>
        </w:rPr>
        <w:t>e “</w:t>
      </w:r>
      <w:proofErr w:type="gramEnd"/>
      <w:r>
        <w:rPr>
          <w:rFonts w:cs="Garamond"/>
        </w:rPr>
        <w:t>protocollo” che sono fruiti dalla quasi totalità degli Ordini regionali degli Assistenti sociali e permettono quindi un confronto ed un omogeneità operativa tra le diverse regioni.</w:t>
      </w:r>
    </w:p>
    <w:p w:rsidR="00EB2A23" w:rsidRDefault="00EB2A23" w:rsidP="003461D9">
      <w:pPr>
        <w:jc w:val="both"/>
        <w:rPr>
          <w:rFonts w:cs="Garamond"/>
        </w:rPr>
      </w:pPr>
      <w:r>
        <w:rPr>
          <w:rFonts w:cs="Garamond"/>
        </w:rPr>
        <w:t xml:space="preserve">Il programma </w:t>
      </w:r>
      <w:r w:rsidR="00825113">
        <w:rPr>
          <w:rFonts w:cs="Garamond"/>
        </w:rPr>
        <w:t xml:space="preserve">ufficio virtuale oltre ad essere il database degli iscritti all’albo regionale </w:t>
      </w:r>
      <w:r>
        <w:rPr>
          <w:rFonts w:cs="Garamond"/>
        </w:rPr>
        <w:t xml:space="preserve">dispone di molteplici funzionalità quali la creazione dei flussi informatici per l’invio delle quote annuali ad Agenzia delle Entrate, </w:t>
      </w:r>
      <w:r w:rsidR="00B34113">
        <w:rPr>
          <w:rFonts w:cs="Garamond"/>
        </w:rPr>
        <w:t xml:space="preserve">e ne consente la rendicontazione degli incassi, </w:t>
      </w:r>
      <w:r>
        <w:rPr>
          <w:rFonts w:cs="Garamond"/>
        </w:rPr>
        <w:t xml:space="preserve">l’estrazione dati per aggiornamento dell’anagrafe tributaria, </w:t>
      </w:r>
      <w:r w:rsidR="00825113">
        <w:rPr>
          <w:rFonts w:cs="Garamond"/>
        </w:rPr>
        <w:t xml:space="preserve">le funzioni di trasmissioni dati a </w:t>
      </w:r>
      <w:proofErr w:type="spellStart"/>
      <w:r w:rsidR="00825113">
        <w:rPr>
          <w:rFonts w:cs="Garamond"/>
        </w:rPr>
        <w:t>Inipec</w:t>
      </w:r>
      <w:proofErr w:type="spellEnd"/>
      <w:r w:rsidR="00825113">
        <w:rPr>
          <w:rFonts w:cs="Garamond"/>
        </w:rPr>
        <w:t xml:space="preserve">, offre la possibilità di salvare nella scheda di ogni iscritto le comunicazioni inviate o ricevute andando a formare una sorta di cartella virtuale,  per tale motivo è integrato con il sistema di protocollo. </w:t>
      </w:r>
      <w:proofErr w:type="gramStart"/>
      <w:r w:rsidR="00825113">
        <w:rPr>
          <w:rFonts w:cs="Garamond"/>
        </w:rPr>
        <w:t>E’</w:t>
      </w:r>
      <w:proofErr w:type="gramEnd"/>
      <w:r w:rsidR="00825113">
        <w:rPr>
          <w:rFonts w:cs="Garamond"/>
        </w:rPr>
        <w:t xml:space="preserve"> dotato di una sezione dedicata alla formazione continua dove vengono acquisite in maniera elettronica le presenze degli iscritti a corsi di formazione in presenza o online </w:t>
      </w:r>
      <w:r w:rsidR="00B34113">
        <w:rPr>
          <w:rFonts w:cs="Garamond"/>
        </w:rPr>
        <w:t>monitorando</w:t>
      </w:r>
      <w:r w:rsidR="00825113">
        <w:rPr>
          <w:rFonts w:cs="Garamond"/>
        </w:rPr>
        <w:t xml:space="preserve"> il raggiungimento degli obblighi formativi. Offre la possibilità di creare lettere standard o personalizzate con un sistema di stampe unione utilizzando i dati degli iscritti. Consente di inserire le sanzioni disciplinari riportate dagli iscritti e di renderle visibili nelle pubblicazioni mensili dell’albo professionale tramite un calendario di inizio e fine pubblicazione della sanzione.</w:t>
      </w:r>
    </w:p>
    <w:p w:rsidR="00B34113" w:rsidRDefault="00B34113" w:rsidP="003461D9">
      <w:pPr>
        <w:jc w:val="both"/>
        <w:rPr>
          <w:rFonts w:cs="Garamond"/>
        </w:rPr>
      </w:pPr>
      <w:r>
        <w:rPr>
          <w:rFonts w:cs="Garamond"/>
        </w:rPr>
        <w:t xml:space="preserve">Il programma di protocollo informatico che consente la protocollazione online di ogni documento in uscita ed in entrata recuperando direttamente dalle email istituzionali e </w:t>
      </w:r>
      <w:proofErr w:type="spellStart"/>
      <w:r>
        <w:rPr>
          <w:rFonts w:cs="Garamond"/>
        </w:rPr>
        <w:t>pec</w:t>
      </w:r>
      <w:proofErr w:type="spellEnd"/>
      <w:r>
        <w:rPr>
          <w:rFonts w:cs="Garamond"/>
        </w:rPr>
        <w:t xml:space="preserve"> le comunicazioni ed i documenti allegati. E’ integrato con il programma ufficio virt</w:t>
      </w:r>
      <w:r w:rsidR="006B6875">
        <w:rPr>
          <w:rFonts w:cs="Garamond"/>
        </w:rPr>
        <w:t>u</w:t>
      </w:r>
      <w:r>
        <w:rPr>
          <w:rFonts w:cs="Garamond"/>
        </w:rPr>
        <w:t xml:space="preserve">ale e consente quindi di procedere a protocollazione ed invio in email e </w:t>
      </w:r>
      <w:proofErr w:type="spellStart"/>
      <w:r>
        <w:rPr>
          <w:rFonts w:cs="Garamond"/>
        </w:rPr>
        <w:t>pec</w:t>
      </w:r>
      <w:proofErr w:type="spellEnd"/>
      <w:r>
        <w:rPr>
          <w:rFonts w:cs="Garamond"/>
        </w:rPr>
        <w:t xml:space="preserve"> in modo diretto ed automatico </w:t>
      </w:r>
      <w:r w:rsidR="006B6875">
        <w:rPr>
          <w:rFonts w:cs="Garamond"/>
        </w:rPr>
        <w:t>delle lettere/</w:t>
      </w:r>
      <w:proofErr w:type="gramStart"/>
      <w:r w:rsidR="006B6875">
        <w:rPr>
          <w:rFonts w:cs="Garamond"/>
        </w:rPr>
        <w:t>docu</w:t>
      </w:r>
      <w:r>
        <w:rPr>
          <w:rFonts w:cs="Garamond"/>
        </w:rPr>
        <w:t>menti  create</w:t>
      </w:r>
      <w:proofErr w:type="gramEnd"/>
      <w:r>
        <w:rPr>
          <w:rFonts w:cs="Garamond"/>
        </w:rPr>
        <w:t xml:space="preserve"> nel programma ufficio virtuale. Offre il servizio di conservatoria dei registri giornalieri e ha alla base un sistema di creazione dei fascicoli virtuali che è adeguato alle indicazioni del Codice di Amministrazione Digitale.</w:t>
      </w:r>
    </w:p>
    <w:p w:rsidR="008675DC" w:rsidRDefault="00B34113" w:rsidP="003461D9">
      <w:pPr>
        <w:jc w:val="both"/>
        <w:rPr>
          <w:rFonts w:cs="Garamond"/>
        </w:rPr>
      </w:pPr>
      <w:r>
        <w:rPr>
          <w:rFonts w:cs="Garamond"/>
        </w:rPr>
        <w:lastRenderedPageBreak/>
        <w:t xml:space="preserve">L’azienda </w:t>
      </w:r>
      <w:proofErr w:type="spellStart"/>
      <w:r>
        <w:rPr>
          <w:rFonts w:cs="Garamond"/>
        </w:rPr>
        <w:t>Hochfeiler</w:t>
      </w:r>
      <w:proofErr w:type="spellEnd"/>
      <w:r>
        <w:rPr>
          <w:rFonts w:cs="Garamond"/>
        </w:rPr>
        <w:t xml:space="preserve"> è stata incaricata nell’aprile del 2021 di procedere al trasferimento dati dal precedente database degli iscritti all’Albo e l’Ordine ha potuto verificare l</w:t>
      </w:r>
      <w:r w:rsidR="008675DC">
        <w:rPr>
          <w:rFonts w:cs="Garamond"/>
        </w:rPr>
        <w:t xml:space="preserve">o svolgimento regolare e conforme alle normative vigenti, le buone prassi attivate e risultati soddisfacenti, nonché </w:t>
      </w:r>
      <w:r>
        <w:rPr>
          <w:rFonts w:cs="Garamond"/>
        </w:rPr>
        <w:t xml:space="preserve">la pregressa esperienza nella fornitura di questi programmi ed assistenza agli altri Ordini professionali, nello specifico agli Ordini degli Assistenti sociali </w:t>
      </w:r>
      <w:r w:rsidR="008675DC">
        <w:rPr>
          <w:rFonts w:cs="Garamond"/>
        </w:rPr>
        <w:t xml:space="preserve">si configurano come requisito di garanzia della professionalità </w:t>
      </w:r>
      <w:r w:rsidR="009C4F73">
        <w:rPr>
          <w:rFonts w:cs="Garamond"/>
        </w:rPr>
        <w:t>dell’azienda</w:t>
      </w:r>
      <w:r w:rsidR="008675DC">
        <w:rPr>
          <w:rFonts w:cs="Garamond"/>
        </w:rPr>
        <w:t xml:space="preserve"> individuat</w:t>
      </w:r>
      <w:r w:rsidR="009C4F73">
        <w:rPr>
          <w:rFonts w:cs="Garamond"/>
        </w:rPr>
        <w:t>a. Si dispone quindi una contrattualizzazione pluriennale (4 anni), in quanto procedere a nuova migrazione dei dati e degli assetti costituirebbe un aggravio di spese e di risorse del personale troppo oneroso e poco efficace.</w:t>
      </w:r>
    </w:p>
    <w:p w:rsidR="00CA682A" w:rsidRDefault="009C4F73" w:rsidP="009C4F73">
      <w:pPr>
        <w:autoSpaceDE w:val="0"/>
        <w:autoSpaceDN w:val="0"/>
        <w:adjustRightInd w:val="0"/>
        <w:spacing w:after="0" w:line="240" w:lineRule="auto"/>
        <w:jc w:val="both"/>
        <w:rPr>
          <w:rFonts w:cs="Garamond"/>
        </w:rPr>
      </w:pPr>
      <w:r>
        <w:rPr>
          <w:rFonts w:cs="Garamond"/>
          <w:b/>
        </w:rPr>
        <w:t>Visura Spa</w:t>
      </w:r>
      <w:r w:rsidR="00CA682A" w:rsidRPr="00CA682A">
        <w:rPr>
          <w:rFonts w:cs="Garamond"/>
          <w:b/>
        </w:rPr>
        <w:t>:</w:t>
      </w:r>
      <w:r w:rsidR="00CA682A">
        <w:rPr>
          <w:rFonts w:cs="Garamond"/>
        </w:rPr>
        <w:t xml:space="preserve"> il programma di contabilità </w:t>
      </w:r>
      <w:r>
        <w:rPr>
          <w:rFonts w:cs="Garamond"/>
        </w:rPr>
        <w:t xml:space="preserve">è stato variato nel febbraio 2021 la procedura di trasferimento dati si è conclusa alla fine di marzo 2021, il programma si è dimostrato facile intuitivo, espressamente realizzato per gli Ordini professionali per le loro peculiarità contabili ed offre format di controllo e di Bilancio rispondenti al Regolamento d’Amministrazione Contabile approvato dal Nazionale con </w:t>
      </w:r>
      <w:r w:rsidR="00752826" w:rsidRPr="00752826">
        <w:rPr>
          <w:rFonts w:cs="Garamond"/>
        </w:rPr>
        <w:t xml:space="preserve">delibere n.91/2003, n.133/2003, n.166/2016  </w:t>
      </w:r>
      <w:r>
        <w:rPr>
          <w:rFonts w:cs="Garamond"/>
        </w:rPr>
        <w:t xml:space="preserve"> e recepito dall’Ordine degli Assistenti sociali della Regione Toscana con </w:t>
      </w:r>
      <w:r w:rsidRPr="00126AB3">
        <w:rPr>
          <w:rFonts w:cs="Garamond"/>
        </w:rPr>
        <w:t>delibera</w:t>
      </w:r>
      <w:r w:rsidR="00126AB3">
        <w:rPr>
          <w:rFonts w:cs="Garamond"/>
        </w:rPr>
        <w:t xml:space="preserve"> 51/2018</w:t>
      </w:r>
      <w:r>
        <w:rPr>
          <w:rFonts w:cs="Garamond"/>
        </w:rPr>
        <w:t xml:space="preserve">. </w:t>
      </w:r>
    </w:p>
    <w:p w:rsidR="009C4F73" w:rsidRDefault="009C4F73" w:rsidP="009C4F73">
      <w:pPr>
        <w:autoSpaceDE w:val="0"/>
        <w:autoSpaceDN w:val="0"/>
        <w:adjustRightInd w:val="0"/>
        <w:spacing w:after="0" w:line="240" w:lineRule="auto"/>
        <w:jc w:val="both"/>
        <w:rPr>
          <w:rFonts w:cs="Garamond"/>
        </w:rPr>
      </w:pPr>
      <w:r>
        <w:rPr>
          <w:rFonts w:cs="Garamond"/>
        </w:rPr>
        <w:t>Il programma è utilizzato da molti Ordini professionali ed anche dal Consiglio Nazionale Assistenti sociali, offre un’assistenza competente e sempre reperibile. Consente di gestire i da</w:t>
      </w:r>
      <w:r w:rsidR="00752826">
        <w:rPr>
          <w:rFonts w:cs="Garamond"/>
        </w:rPr>
        <w:t xml:space="preserve">ti per gli obblighi </w:t>
      </w:r>
      <w:proofErr w:type="spellStart"/>
      <w:r w:rsidR="00752826">
        <w:rPr>
          <w:rFonts w:cs="Garamond"/>
        </w:rPr>
        <w:t>Anac</w:t>
      </w:r>
      <w:proofErr w:type="spellEnd"/>
      <w:r w:rsidR="00752826">
        <w:rPr>
          <w:rFonts w:cs="Garamond"/>
        </w:rPr>
        <w:t xml:space="preserve"> L.190/2012 </w:t>
      </w:r>
      <w:r>
        <w:rPr>
          <w:rFonts w:cs="Garamond"/>
        </w:rPr>
        <w:t>attraverso un riepilogo dei CIG attribuiti e del monitoraggio delle fatture pagate nell’anno solare, offre la possibilità di aggiornamento dati sulla piattaforma crediti commerciali in modo informatizzato.</w:t>
      </w:r>
    </w:p>
    <w:p w:rsidR="00E65CBE" w:rsidRDefault="009C4F73" w:rsidP="00E65CBE">
      <w:pPr>
        <w:jc w:val="both"/>
        <w:rPr>
          <w:rFonts w:cs="Garamond"/>
        </w:rPr>
      </w:pPr>
      <w:r>
        <w:rPr>
          <w:rFonts w:cs="Garamond"/>
        </w:rPr>
        <w:t>Le pregresse esperienze di fornitura del programma, del servizio assistenza e formazione agli altri Ordini professionali, nonché le buone prassi rilevate dall’Ordine della Toscana sono garanzia</w:t>
      </w:r>
      <w:r w:rsidR="00E65CBE">
        <w:rPr>
          <w:rFonts w:cs="Garamond"/>
        </w:rPr>
        <w:t xml:space="preserve"> </w:t>
      </w:r>
      <w:proofErr w:type="spellStart"/>
      <w:r w:rsidR="00E65CBE">
        <w:rPr>
          <w:rFonts w:cs="Garamond"/>
        </w:rPr>
        <w:t>garanzia</w:t>
      </w:r>
      <w:proofErr w:type="spellEnd"/>
      <w:r w:rsidR="00E65CBE">
        <w:rPr>
          <w:rFonts w:cs="Garamond"/>
        </w:rPr>
        <w:t xml:space="preserve"> della professionalità dell’azienda individuata. Si dispone quindi una contrattualizzazione pluriennale (4 anni), in quanto procedere a nuova migrazione dei dati e degli assetti costituirebbe un aggravio di spese e di risorse del personale troppo oneroso e poco efficace.</w:t>
      </w:r>
    </w:p>
    <w:p w:rsidR="001C4E0E" w:rsidRDefault="001C4E0E" w:rsidP="003461D9">
      <w:pPr>
        <w:jc w:val="both"/>
        <w:rPr>
          <w:rFonts w:cs="Garamond"/>
        </w:rPr>
      </w:pPr>
      <w:proofErr w:type="spellStart"/>
      <w:r w:rsidRPr="00CA15FE">
        <w:rPr>
          <w:rFonts w:cs="Garamond"/>
          <w:b/>
        </w:rPr>
        <w:t>RenziPisaniComunicazione</w:t>
      </w:r>
      <w:proofErr w:type="spellEnd"/>
      <w:r w:rsidRPr="00CA15FE">
        <w:rPr>
          <w:rFonts w:cs="Garamond"/>
          <w:b/>
        </w:rPr>
        <w:t>:</w:t>
      </w:r>
      <w:r w:rsidRPr="00CA15FE">
        <w:rPr>
          <w:rFonts w:cs="Garamond"/>
        </w:rPr>
        <w:t xml:space="preserve"> La comunicazione Istituzionale è un servizio che si fonda sulle scelte del Consiglio in fase d’insediamento, l’attuale consulente ha garantito un soddisfacente servizio, dimostrato disponibilità e una fattiva collaborazione con gli Organi dell’Ufficio di Presidenza, pertanto</w:t>
      </w:r>
      <w:r w:rsidR="00CA15FE">
        <w:rPr>
          <w:rFonts w:cs="Garamond"/>
        </w:rPr>
        <w:t xml:space="preserve"> essendosi rinnovato il Consiglio nel maggio 2021</w:t>
      </w:r>
      <w:r w:rsidRPr="00CA15FE">
        <w:rPr>
          <w:rFonts w:cs="Garamond"/>
        </w:rPr>
        <w:t xml:space="preserve"> si decide di </w:t>
      </w:r>
      <w:r w:rsidR="00CA15FE">
        <w:rPr>
          <w:rFonts w:cs="Garamond"/>
        </w:rPr>
        <w:t xml:space="preserve">dare incarico per il primo semestre 2022 allo Studio </w:t>
      </w:r>
      <w:proofErr w:type="spellStart"/>
      <w:r w:rsidR="00CA15FE">
        <w:rPr>
          <w:rFonts w:cs="Garamond"/>
        </w:rPr>
        <w:t>RenziPisani</w:t>
      </w:r>
      <w:proofErr w:type="spellEnd"/>
      <w:r w:rsidR="00CA15FE">
        <w:rPr>
          <w:rFonts w:cs="Garamond"/>
        </w:rPr>
        <w:t xml:space="preserve"> e di avviare ricerche di mercato per individuare anche nuovi progetti di comunicazione istituzionale e valutare altre innovative figure professionali che si occupano di comunicazione sociale attraverso anche la gestione dei canali di comunicazione istituzionale sito e newsletter</w:t>
      </w:r>
    </w:p>
    <w:p w:rsidR="005C4805" w:rsidRDefault="005C4805" w:rsidP="003461D9">
      <w:pPr>
        <w:autoSpaceDE w:val="0"/>
        <w:autoSpaceDN w:val="0"/>
        <w:adjustRightInd w:val="0"/>
        <w:spacing w:after="0" w:line="240" w:lineRule="auto"/>
        <w:jc w:val="both"/>
        <w:rPr>
          <w:rFonts w:cs="Garamond"/>
        </w:rPr>
      </w:pPr>
      <w:r>
        <w:rPr>
          <w:rFonts w:cs="Garamond"/>
          <w:b/>
        </w:rPr>
        <w:t xml:space="preserve">Aruba </w:t>
      </w:r>
      <w:proofErr w:type="spellStart"/>
      <w:r>
        <w:rPr>
          <w:rFonts w:cs="Garamond"/>
          <w:b/>
        </w:rPr>
        <w:t>S.p.A</w:t>
      </w:r>
      <w:proofErr w:type="spellEnd"/>
      <w:r w:rsidRPr="005C4805">
        <w:rPr>
          <w:rFonts w:cs="Garamond"/>
        </w:rPr>
        <w:t>: L’Ordine ha registrato con azienda Aruba spa i tre domini oastoscana.it, oastoscana.eu e disciplinatoscana.it per i quali ha creato e dotato il proprio organico di mail e sui quali ha creato il proprio sito istituzionale, non rilevando criticità o costi eccessivi nella gestione e rinnovi dei domini ed essendo il trasferimento degli stessi una procedura amministrativa burocratica complessa che comporterebbe impossibilità di svolgimento delle normali e scadenzate attività di gestione dell’Ente si decide di non procedere almeno annualmente a ricerche di mercato, gare pubbliche o altre procedure contrattuali</w:t>
      </w:r>
      <w:r w:rsidR="00D956FB">
        <w:rPr>
          <w:rFonts w:cs="Garamond"/>
        </w:rPr>
        <w:t>.</w:t>
      </w:r>
    </w:p>
    <w:p w:rsidR="00D956FB" w:rsidRDefault="00D956FB" w:rsidP="003461D9">
      <w:pPr>
        <w:autoSpaceDE w:val="0"/>
        <w:autoSpaceDN w:val="0"/>
        <w:adjustRightInd w:val="0"/>
        <w:spacing w:after="0" w:line="240" w:lineRule="auto"/>
        <w:jc w:val="both"/>
        <w:rPr>
          <w:rFonts w:cs="Garamond"/>
        </w:rPr>
      </w:pPr>
    </w:p>
    <w:p w:rsidR="00224120" w:rsidRDefault="00224120" w:rsidP="003461D9">
      <w:pPr>
        <w:autoSpaceDE w:val="0"/>
        <w:autoSpaceDN w:val="0"/>
        <w:adjustRightInd w:val="0"/>
        <w:spacing w:after="0" w:line="240" w:lineRule="auto"/>
        <w:jc w:val="both"/>
        <w:rPr>
          <w:rFonts w:cs="Garamond"/>
          <w:b/>
        </w:rPr>
      </w:pPr>
    </w:p>
    <w:p w:rsidR="00D956FB" w:rsidRDefault="003E26C0" w:rsidP="003461D9">
      <w:pPr>
        <w:autoSpaceDE w:val="0"/>
        <w:autoSpaceDN w:val="0"/>
        <w:adjustRightInd w:val="0"/>
        <w:spacing w:after="0" w:line="240" w:lineRule="auto"/>
        <w:jc w:val="both"/>
        <w:rPr>
          <w:rFonts w:cs="Garamond"/>
          <w:b/>
        </w:rPr>
      </w:pPr>
      <w:r w:rsidRPr="003E26C0">
        <w:rPr>
          <w:rFonts w:cs="Garamond"/>
          <w:b/>
        </w:rPr>
        <w:t>Rescissione contratti per beni infungibili:</w:t>
      </w:r>
    </w:p>
    <w:p w:rsidR="0076590F" w:rsidRDefault="0076590F" w:rsidP="003461D9">
      <w:pPr>
        <w:autoSpaceDE w:val="0"/>
        <w:autoSpaceDN w:val="0"/>
        <w:adjustRightInd w:val="0"/>
        <w:spacing w:after="0" w:line="240" w:lineRule="auto"/>
        <w:jc w:val="both"/>
        <w:rPr>
          <w:rFonts w:cs="Garamond"/>
          <w:b/>
        </w:rPr>
      </w:pPr>
    </w:p>
    <w:p w:rsidR="0076590F" w:rsidRDefault="0076590F" w:rsidP="003461D9">
      <w:pPr>
        <w:autoSpaceDE w:val="0"/>
        <w:autoSpaceDN w:val="0"/>
        <w:adjustRightInd w:val="0"/>
        <w:spacing w:after="0" w:line="240" w:lineRule="auto"/>
        <w:jc w:val="both"/>
        <w:rPr>
          <w:rFonts w:cs="Garamond"/>
          <w:b/>
        </w:rPr>
      </w:pPr>
      <w:r w:rsidRPr="0076590F">
        <w:rPr>
          <w:rFonts w:cs="Garamond"/>
        </w:rPr>
        <w:t>L’Ordine procederà alla rescissione dei contratti dei su elencati beni infungibili:</w:t>
      </w:r>
    </w:p>
    <w:p w:rsidR="0076590F" w:rsidRDefault="0076590F" w:rsidP="003461D9">
      <w:pPr>
        <w:autoSpaceDE w:val="0"/>
        <w:autoSpaceDN w:val="0"/>
        <w:adjustRightInd w:val="0"/>
        <w:spacing w:after="0" w:line="240" w:lineRule="auto"/>
        <w:jc w:val="both"/>
        <w:rPr>
          <w:rFonts w:cs="Garamond"/>
          <w:b/>
        </w:rPr>
      </w:pPr>
    </w:p>
    <w:p w:rsidR="003E26C0" w:rsidRPr="0076590F" w:rsidRDefault="003E26C0" w:rsidP="003461D9">
      <w:pPr>
        <w:pStyle w:val="Paragrafoelenco"/>
        <w:numPr>
          <w:ilvl w:val="0"/>
          <w:numId w:val="1"/>
        </w:numPr>
        <w:autoSpaceDE w:val="0"/>
        <w:autoSpaceDN w:val="0"/>
        <w:adjustRightInd w:val="0"/>
        <w:spacing w:after="0" w:line="240" w:lineRule="auto"/>
        <w:jc w:val="both"/>
        <w:rPr>
          <w:rFonts w:cs="Garamond"/>
        </w:rPr>
      </w:pPr>
      <w:r w:rsidRPr="0076590F">
        <w:rPr>
          <w:rFonts w:cs="Garamond"/>
        </w:rPr>
        <w:t xml:space="preserve">Qualora si rilevi un comportamento scorretto del fornitore, una grave mancanza nella fornitura del servizio o un grave malfunzionamento del prodotto che esponga l’Ordine ha una sospensione di </w:t>
      </w:r>
      <w:r w:rsidRPr="0076590F">
        <w:rPr>
          <w:rFonts w:cs="Garamond"/>
        </w:rPr>
        <w:lastRenderedPageBreak/>
        <w:t>servizi pubblici dell’Ente o comunque all’impossibilità di adempiere alle proprie funzioni nei modi e tempi di legge</w:t>
      </w:r>
      <w:r w:rsidR="0076590F" w:rsidRPr="0076590F">
        <w:rPr>
          <w:rFonts w:cs="Garamond"/>
        </w:rPr>
        <w:t>;</w:t>
      </w:r>
    </w:p>
    <w:p w:rsidR="0076590F" w:rsidRDefault="0076590F" w:rsidP="003461D9">
      <w:pPr>
        <w:autoSpaceDE w:val="0"/>
        <w:autoSpaceDN w:val="0"/>
        <w:adjustRightInd w:val="0"/>
        <w:spacing w:after="0" w:line="240" w:lineRule="auto"/>
        <w:jc w:val="both"/>
        <w:rPr>
          <w:rFonts w:cs="Garamond"/>
        </w:rPr>
      </w:pPr>
    </w:p>
    <w:p w:rsidR="0076590F" w:rsidRPr="0076590F" w:rsidRDefault="0076590F" w:rsidP="003461D9">
      <w:pPr>
        <w:pStyle w:val="Paragrafoelenco"/>
        <w:numPr>
          <w:ilvl w:val="0"/>
          <w:numId w:val="1"/>
        </w:numPr>
        <w:autoSpaceDE w:val="0"/>
        <w:autoSpaceDN w:val="0"/>
        <w:adjustRightInd w:val="0"/>
        <w:spacing w:after="0" w:line="240" w:lineRule="auto"/>
        <w:jc w:val="both"/>
        <w:rPr>
          <w:rFonts w:cs="Garamond"/>
        </w:rPr>
      </w:pPr>
      <w:r w:rsidRPr="0076590F">
        <w:rPr>
          <w:rFonts w:cs="Garamond"/>
        </w:rPr>
        <w:t xml:space="preserve">Qualora si rilevi che nel susseguirsi delle annualità il sacrificio della concorrenzialità, ed i maggiori costi e tempi d’apprendimento legati alla sostituzione del fornitore non siano </w:t>
      </w:r>
      <w:proofErr w:type="gramStart"/>
      <w:r w:rsidRPr="0076590F">
        <w:rPr>
          <w:rFonts w:cs="Garamond"/>
        </w:rPr>
        <w:t>adeguatament</w:t>
      </w:r>
      <w:r w:rsidR="006B6875">
        <w:rPr>
          <w:rFonts w:cs="Garamond"/>
        </w:rPr>
        <w:t xml:space="preserve">e </w:t>
      </w:r>
      <w:r w:rsidRPr="0076590F">
        <w:rPr>
          <w:rFonts w:cs="Garamond"/>
        </w:rPr>
        <w:t xml:space="preserve"> compensati</w:t>
      </w:r>
      <w:proofErr w:type="gramEnd"/>
      <w:r w:rsidRPr="0076590F">
        <w:rPr>
          <w:rFonts w:cs="Garamond"/>
        </w:rPr>
        <w:t xml:space="preserve"> dai guadagni di efficienza, dai benefici che ne</w:t>
      </w:r>
      <w:r w:rsidR="00E65CBE">
        <w:rPr>
          <w:rFonts w:cs="Garamond"/>
        </w:rPr>
        <w:t xml:space="preserve"> </w:t>
      </w:r>
      <w:r w:rsidRPr="0076590F">
        <w:rPr>
          <w:rFonts w:cs="Garamond"/>
        </w:rPr>
        <w:t>derivano in termini di qualità ed economicità dei servizi o dei beni fomiti.</w:t>
      </w:r>
    </w:p>
    <w:p w:rsidR="005C4805" w:rsidRDefault="005C4805" w:rsidP="003461D9">
      <w:pPr>
        <w:jc w:val="both"/>
        <w:rPr>
          <w:rFonts w:cs="Garamond"/>
          <w:b/>
        </w:rPr>
      </w:pPr>
    </w:p>
    <w:p w:rsidR="00224120" w:rsidRDefault="00224120" w:rsidP="003461D9">
      <w:pPr>
        <w:jc w:val="both"/>
        <w:rPr>
          <w:rFonts w:cs="Garamond"/>
          <w:b/>
        </w:rPr>
      </w:pPr>
    </w:p>
    <w:p w:rsidR="00224120" w:rsidRDefault="00224120" w:rsidP="00224120">
      <w:pPr>
        <w:ind w:left="2124" w:firstLine="708"/>
        <w:rPr>
          <w:b/>
        </w:rPr>
      </w:pPr>
      <w:r>
        <w:rPr>
          <w:noProof/>
          <w:lang w:eastAsia="it-IT"/>
        </w:rPr>
        <w:drawing>
          <wp:anchor distT="0" distB="0" distL="114300" distR="114300" simplePos="0" relativeHeight="251658240" behindDoc="0" locked="0" layoutInCell="1" allowOverlap="1">
            <wp:simplePos x="0" y="0"/>
            <wp:positionH relativeFrom="column">
              <wp:posOffset>238760</wp:posOffset>
            </wp:positionH>
            <wp:positionV relativeFrom="paragraph">
              <wp:posOffset>243840</wp:posOffset>
            </wp:positionV>
            <wp:extent cx="670560" cy="6934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693420"/>
                    </a:xfrm>
                    <a:prstGeom prst="rect">
                      <a:avLst/>
                    </a:prstGeom>
                    <a:noFill/>
                  </pic:spPr>
                </pic:pic>
              </a:graphicData>
            </a:graphic>
            <wp14:sizeRelH relativeFrom="page">
              <wp14:pctWidth>0</wp14:pctWidth>
            </wp14:sizeRelH>
            <wp14:sizeRelV relativeFrom="page">
              <wp14:pctHeight>0</wp14:pctHeight>
            </wp14:sizeRelV>
          </wp:anchor>
        </w:drawing>
      </w:r>
      <w:r>
        <w:rPr>
          <w:b/>
          <w:bCs/>
        </w:rPr>
        <w:t>O</w:t>
      </w:r>
      <w:r>
        <w:rPr>
          <w:b/>
        </w:rPr>
        <w:t>rdine degli Assistenti Sociali della Regione Toscana</w:t>
      </w:r>
    </w:p>
    <w:p w:rsidR="00224120" w:rsidRDefault="00224120" w:rsidP="00224120">
      <w:pPr>
        <w:rPr>
          <w:b/>
        </w:rPr>
      </w:pPr>
      <w:r>
        <w:rPr>
          <w:b/>
        </w:rPr>
        <w:t xml:space="preserve"> </w:t>
      </w:r>
      <w:r>
        <w:rPr>
          <w:b/>
        </w:rPr>
        <w:tab/>
      </w:r>
      <w:r>
        <w:rPr>
          <w:b/>
        </w:rPr>
        <w:tab/>
      </w:r>
      <w:r>
        <w:rPr>
          <w:b/>
        </w:rPr>
        <w:tab/>
      </w:r>
      <w:r>
        <w:rPr>
          <w:b/>
        </w:rPr>
        <w:tab/>
      </w:r>
      <w:r>
        <w:rPr>
          <w:b/>
        </w:rPr>
        <w:tab/>
      </w:r>
      <w:r>
        <w:rPr>
          <w:b/>
        </w:rPr>
        <w:tab/>
      </w:r>
      <w:r>
        <w:rPr>
          <w:b/>
        </w:rPr>
        <w:tab/>
        <w:t>L</w:t>
      </w:r>
      <w:bookmarkStart w:id="0" w:name="_GoBack"/>
      <w:bookmarkEnd w:id="0"/>
      <w:r>
        <w:rPr>
          <w:b/>
        </w:rPr>
        <w:t>a Presidente</w:t>
      </w:r>
    </w:p>
    <w:p w:rsidR="00224120" w:rsidRDefault="00224120" w:rsidP="00224120">
      <w:pPr>
        <w:ind w:left="5670" w:firstLine="702"/>
        <w:rPr>
          <w:b/>
          <w:i/>
          <w:iCs/>
        </w:rPr>
      </w:pPr>
      <w:r>
        <w:rPr>
          <w:b/>
        </w:rPr>
        <w:t>Rosa Barone</w:t>
      </w:r>
    </w:p>
    <w:p w:rsidR="00224120" w:rsidRPr="005C4805" w:rsidRDefault="00224120" w:rsidP="003461D9">
      <w:pPr>
        <w:jc w:val="both"/>
        <w:rPr>
          <w:rFonts w:cs="Garamond"/>
          <w:b/>
        </w:rPr>
      </w:pPr>
    </w:p>
    <w:sectPr w:rsidR="00224120" w:rsidRPr="005C480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AD" w:rsidRDefault="00BA2AAD" w:rsidP="003461D9">
      <w:pPr>
        <w:spacing w:after="0" w:line="240" w:lineRule="auto"/>
      </w:pPr>
      <w:r>
        <w:separator/>
      </w:r>
    </w:p>
  </w:endnote>
  <w:endnote w:type="continuationSeparator" w:id="0">
    <w:p w:rsidR="00BA2AAD" w:rsidRDefault="00BA2AAD" w:rsidP="0034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D9" w:rsidRPr="003461D9" w:rsidRDefault="003461D9" w:rsidP="003461D9">
    <w:pPr>
      <w:keepNext/>
      <w:spacing w:after="0" w:line="240" w:lineRule="auto"/>
      <w:jc w:val="center"/>
      <w:outlineLvl w:val="0"/>
      <w:rPr>
        <w:rFonts w:ascii="Calibri" w:eastAsia="Times New Roman" w:hAnsi="Calibri" w:cs="Times New Roman"/>
        <w:b/>
        <w:noProof/>
        <w:sz w:val="18"/>
        <w:szCs w:val="18"/>
        <w:lang w:eastAsia="it-IT"/>
      </w:rPr>
    </w:pPr>
    <w:r w:rsidRPr="003461D9">
      <w:rPr>
        <w:rFonts w:ascii="Calibri" w:eastAsia="Times New Roman" w:hAnsi="Calibri" w:cs="Times New Roman"/>
        <w:b/>
        <w:noProof/>
        <w:sz w:val="18"/>
        <w:szCs w:val="18"/>
        <w:lang w:eastAsia="it-IT"/>
      </w:rPr>
      <w:t>Ordine degli Assistenti Sociali della Regione Toscana</w:t>
    </w:r>
  </w:p>
  <w:p w:rsidR="003461D9" w:rsidRPr="003461D9" w:rsidRDefault="003461D9" w:rsidP="003461D9">
    <w:pPr>
      <w:spacing w:after="0" w:line="240" w:lineRule="auto"/>
      <w:jc w:val="center"/>
      <w:rPr>
        <w:rFonts w:ascii="Calibri" w:eastAsia="Times New Roman" w:hAnsi="Calibri" w:cs="Times New Roman"/>
        <w:noProof/>
        <w:sz w:val="18"/>
        <w:szCs w:val="18"/>
        <w:lang w:eastAsia="it-IT"/>
      </w:rPr>
    </w:pPr>
    <w:r w:rsidRPr="003461D9">
      <w:rPr>
        <w:rFonts w:ascii="Calibri" w:eastAsia="Times New Roman" w:hAnsi="Calibri" w:cs="Times New Roman"/>
        <w:noProof/>
        <w:sz w:val="18"/>
        <w:szCs w:val="18"/>
        <w:lang w:eastAsia="it-IT"/>
      </w:rPr>
      <w:t xml:space="preserve">Viale Spartaco Lavagnini 18 –50129 Firenze  Tel. 055/301514 </w:t>
    </w:r>
  </w:p>
  <w:p w:rsidR="003461D9" w:rsidRPr="003461D9" w:rsidRDefault="003461D9" w:rsidP="003461D9">
    <w:pPr>
      <w:spacing w:after="0" w:line="240" w:lineRule="auto"/>
      <w:jc w:val="center"/>
      <w:rPr>
        <w:rFonts w:ascii="Calibri" w:eastAsia="Times New Roman" w:hAnsi="Calibri" w:cs="Times New Roman"/>
        <w:noProof/>
        <w:sz w:val="18"/>
        <w:szCs w:val="18"/>
        <w:lang w:eastAsia="it-IT"/>
      </w:rPr>
    </w:pPr>
    <w:r w:rsidRPr="003461D9">
      <w:rPr>
        <w:rFonts w:ascii="Calibri" w:eastAsia="Times New Roman" w:hAnsi="Calibri" w:cs="Times New Roman"/>
        <w:noProof/>
        <w:sz w:val="18"/>
        <w:szCs w:val="18"/>
        <w:lang w:eastAsia="it-IT"/>
      </w:rPr>
      <w:tab/>
    </w:r>
    <w:hyperlink r:id="rId1" w:history="1">
      <w:r w:rsidRPr="003461D9">
        <w:rPr>
          <w:rFonts w:ascii="Calibri" w:eastAsia="Times New Roman" w:hAnsi="Calibri" w:cs="Times New Roman"/>
          <w:noProof/>
          <w:color w:val="0000FF"/>
          <w:sz w:val="18"/>
          <w:szCs w:val="18"/>
          <w:u w:val="single"/>
          <w:lang w:eastAsia="it-IT"/>
        </w:rPr>
        <w:t>www.oastoscana.it</w:t>
      </w:r>
    </w:hyperlink>
    <w:r w:rsidRPr="003461D9">
      <w:rPr>
        <w:rFonts w:ascii="Calibri" w:eastAsia="Times New Roman" w:hAnsi="Calibri" w:cs="Times New Roman"/>
        <w:noProof/>
        <w:sz w:val="18"/>
        <w:szCs w:val="18"/>
        <w:lang w:eastAsia="it-IT"/>
      </w:rPr>
      <w:t xml:space="preserve">  </w:t>
    </w:r>
    <w:hyperlink r:id="rId2" w:history="1">
      <w:r w:rsidRPr="003461D9">
        <w:rPr>
          <w:rFonts w:ascii="Calibri" w:eastAsia="Times New Roman" w:hAnsi="Calibri" w:cs="Times New Roman"/>
          <w:noProof/>
          <w:color w:val="0000FF"/>
          <w:sz w:val="18"/>
          <w:szCs w:val="18"/>
          <w:u w:val="single"/>
          <w:lang w:eastAsia="it-IT"/>
        </w:rPr>
        <w:t>segreteria@oastoscana.it</w:t>
      </w:r>
    </w:hyperlink>
  </w:p>
  <w:p w:rsidR="003461D9" w:rsidRPr="003461D9" w:rsidRDefault="003461D9" w:rsidP="003461D9">
    <w:pPr>
      <w:tabs>
        <w:tab w:val="center" w:pos="4819"/>
        <w:tab w:val="left" w:pos="7035"/>
        <w:tab w:val="right" w:pos="9638"/>
      </w:tabs>
      <w:spacing w:after="0" w:line="240" w:lineRule="auto"/>
      <w:jc w:val="center"/>
      <w:rPr>
        <w:rFonts w:ascii="Calibri" w:eastAsia="Times New Roman" w:hAnsi="Calibri" w:cs="Times New Roman"/>
        <w:sz w:val="18"/>
        <w:szCs w:val="18"/>
        <w:lang w:eastAsia="it-IT"/>
      </w:rPr>
    </w:pPr>
    <w:r w:rsidRPr="003461D9">
      <w:rPr>
        <w:rFonts w:ascii="Calibri" w:eastAsia="Times New Roman" w:hAnsi="Calibri" w:cs="Times New Roman"/>
        <w:sz w:val="18"/>
        <w:szCs w:val="18"/>
        <w:lang w:eastAsia="it-IT"/>
      </w:rPr>
      <w:t xml:space="preserve">Codice </w:t>
    </w:r>
    <w:proofErr w:type="gramStart"/>
    <w:r w:rsidRPr="003461D9">
      <w:rPr>
        <w:rFonts w:ascii="Calibri" w:eastAsia="Times New Roman" w:hAnsi="Calibri" w:cs="Times New Roman"/>
        <w:sz w:val="18"/>
        <w:szCs w:val="18"/>
        <w:lang w:eastAsia="it-IT"/>
      </w:rPr>
      <w:t>Fiscale  94055970480</w:t>
    </w:r>
    <w:proofErr w:type="gramEnd"/>
  </w:p>
  <w:p w:rsidR="003461D9" w:rsidRDefault="003461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AD" w:rsidRDefault="00BA2AAD" w:rsidP="003461D9">
      <w:pPr>
        <w:spacing w:after="0" w:line="240" w:lineRule="auto"/>
      </w:pPr>
      <w:r>
        <w:separator/>
      </w:r>
    </w:p>
  </w:footnote>
  <w:footnote w:type="continuationSeparator" w:id="0">
    <w:p w:rsidR="00BA2AAD" w:rsidRDefault="00BA2AAD" w:rsidP="0034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D9" w:rsidRDefault="003461D9">
    <w:pPr>
      <w:pStyle w:val="Intestazione"/>
    </w:pPr>
    <w:r>
      <w:rPr>
        <w:noProof/>
        <w:lang w:eastAsia="it-IT"/>
      </w:rPr>
      <w:drawing>
        <wp:inline distT="0" distB="0" distL="0" distR="0" wp14:anchorId="362BEDC4">
          <wp:extent cx="2914015" cy="876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C55"/>
    <w:multiLevelType w:val="hybridMultilevel"/>
    <w:tmpl w:val="7312F6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04"/>
    <w:rsid w:val="00001F15"/>
    <w:rsid w:val="00126AB3"/>
    <w:rsid w:val="001C4E0E"/>
    <w:rsid w:val="00224120"/>
    <w:rsid w:val="00257E1F"/>
    <w:rsid w:val="003461D9"/>
    <w:rsid w:val="003E26C0"/>
    <w:rsid w:val="004A7DF0"/>
    <w:rsid w:val="005271AB"/>
    <w:rsid w:val="005C4805"/>
    <w:rsid w:val="00660687"/>
    <w:rsid w:val="006949E2"/>
    <w:rsid w:val="006B6875"/>
    <w:rsid w:val="00752826"/>
    <w:rsid w:val="0076590F"/>
    <w:rsid w:val="00825113"/>
    <w:rsid w:val="008675DC"/>
    <w:rsid w:val="00995BD8"/>
    <w:rsid w:val="009C4F73"/>
    <w:rsid w:val="00AA3CB0"/>
    <w:rsid w:val="00AC6575"/>
    <w:rsid w:val="00B34113"/>
    <w:rsid w:val="00BA2AAD"/>
    <w:rsid w:val="00BF4440"/>
    <w:rsid w:val="00CA15FE"/>
    <w:rsid w:val="00CA682A"/>
    <w:rsid w:val="00CC4604"/>
    <w:rsid w:val="00CC5E24"/>
    <w:rsid w:val="00D956FB"/>
    <w:rsid w:val="00DA4BAC"/>
    <w:rsid w:val="00DA7551"/>
    <w:rsid w:val="00E65CBE"/>
    <w:rsid w:val="00E67ECC"/>
    <w:rsid w:val="00EB2A23"/>
    <w:rsid w:val="00F6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DA1A4"/>
  <w15:chartTrackingRefBased/>
  <w15:docId w15:val="{692BF2A8-FAFE-42B1-BEDA-F2A234B7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590F"/>
    <w:pPr>
      <w:ind w:left="720"/>
      <w:contextualSpacing/>
    </w:pPr>
  </w:style>
  <w:style w:type="paragraph" w:styleId="Intestazione">
    <w:name w:val="header"/>
    <w:basedOn w:val="Normale"/>
    <w:link w:val="IntestazioneCarattere"/>
    <w:uiPriority w:val="99"/>
    <w:unhideWhenUsed/>
    <w:rsid w:val="003461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1D9"/>
  </w:style>
  <w:style w:type="paragraph" w:styleId="Pidipagina">
    <w:name w:val="footer"/>
    <w:basedOn w:val="Normale"/>
    <w:link w:val="PidipaginaCarattere"/>
    <w:uiPriority w:val="99"/>
    <w:unhideWhenUsed/>
    <w:rsid w:val="003461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oastoscana.it" TargetMode="External"/><Relationship Id="rId1" Type="http://schemas.openxmlformats.org/officeDocument/2006/relationships/hyperlink" Target="http://www.oastosca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12</cp:revision>
  <dcterms:created xsi:type="dcterms:W3CDTF">2021-11-30T11:50:00Z</dcterms:created>
  <dcterms:modified xsi:type="dcterms:W3CDTF">2022-01-14T08:39:00Z</dcterms:modified>
</cp:coreProperties>
</file>